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397"/>
        <w:gridCol w:w="6070"/>
        <w:gridCol w:w="4765"/>
      </w:tblGrid>
      <w:tr w:rsidR="0029009E" w:rsidRPr="00060103" w:rsidTr="00060103">
        <w:tc>
          <w:tcPr>
            <w:tcW w:w="5000" w:type="pct"/>
            <w:gridSpan w:val="4"/>
          </w:tcPr>
          <w:p w:rsidR="0029009E" w:rsidRPr="00060103" w:rsidRDefault="00BD45B1" w:rsidP="00E9439B">
            <w:pPr>
              <w:jc w:val="center"/>
              <w:rPr>
                <w:b/>
              </w:rPr>
            </w:pPr>
            <w:r>
              <w:rPr>
                <w:b/>
              </w:rPr>
              <w:t>Изменения в</w:t>
            </w:r>
            <w:r w:rsidR="0029009E" w:rsidRPr="00060103">
              <w:rPr>
                <w:b/>
              </w:rPr>
              <w:t xml:space="preserve"> Положения о закупках</w:t>
            </w:r>
            <w:r w:rsidR="00F214E9">
              <w:rPr>
                <w:b/>
              </w:rPr>
              <w:t xml:space="preserve"> ФБУ «УРАЛТЕСТ» </w:t>
            </w:r>
            <w:r w:rsidR="0029009E" w:rsidRPr="00060103">
              <w:rPr>
                <w:b/>
              </w:rPr>
              <w:t xml:space="preserve"> на 201</w:t>
            </w:r>
            <w:r w:rsidR="00E9439B">
              <w:rPr>
                <w:b/>
              </w:rPr>
              <w:t>7</w:t>
            </w:r>
            <w:r w:rsidR="0029009E" w:rsidRPr="00060103">
              <w:rPr>
                <w:b/>
              </w:rPr>
              <w:t xml:space="preserve"> год</w:t>
            </w:r>
          </w:p>
        </w:tc>
      </w:tr>
      <w:tr w:rsidR="001F2236" w:rsidTr="00AE53B9">
        <w:tc>
          <w:tcPr>
            <w:tcW w:w="147" w:type="pct"/>
          </w:tcPr>
          <w:p w:rsidR="001F2236" w:rsidRDefault="001F2236" w:rsidP="00060103">
            <w:pPr>
              <w:jc w:val="center"/>
            </w:pPr>
            <w:r>
              <w:t>№</w:t>
            </w:r>
          </w:p>
        </w:tc>
        <w:tc>
          <w:tcPr>
            <w:tcW w:w="1401" w:type="pct"/>
          </w:tcPr>
          <w:p w:rsidR="001F2236" w:rsidRDefault="001F2236" w:rsidP="00060103">
            <w:pPr>
              <w:jc w:val="center"/>
            </w:pPr>
            <w:r>
              <w:t>Действующая редакция</w:t>
            </w:r>
          </w:p>
        </w:tc>
        <w:tc>
          <w:tcPr>
            <w:tcW w:w="1934" w:type="pct"/>
          </w:tcPr>
          <w:p w:rsidR="001F2236" w:rsidRDefault="001F2236" w:rsidP="00060103">
            <w:pPr>
              <w:jc w:val="center"/>
            </w:pPr>
            <w:r>
              <w:t>Предлагаемая редакция</w:t>
            </w:r>
          </w:p>
        </w:tc>
        <w:tc>
          <w:tcPr>
            <w:tcW w:w="1518" w:type="pct"/>
          </w:tcPr>
          <w:p w:rsidR="001F2236" w:rsidRDefault="001F2236" w:rsidP="00060103">
            <w:pPr>
              <w:jc w:val="center"/>
            </w:pPr>
            <w:r>
              <w:t>Обоснование</w:t>
            </w:r>
          </w:p>
        </w:tc>
      </w:tr>
      <w:tr w:rsidR="009D3547" w:rsidRPr="00521725" w:rsidTr="00133EB3">
        <w:tc>
          <w:tcPr>
            <w:tcW w:w="147" w:type="pct"/>
          </w:tcPr>
          <w:p w:rsidR="009D3547" w:rsidRDefault="00B265F9">
            <w:r>
              <w:t>1</w:t>
            </w:r>
            <w:r w:rsidR="009D3547">
              <w:t>.</w:t>
            </w:r>
          </w:p>
        </w:tc>
        <w:tc>
          <w:tcPr>
            <w:tcW w:w="1401" w:type="pct"/>
            <w:tcBorders>
              <w:bottom w:val="single" w:sz="4" w:space="0" w:color="auto"/>
            </w:tcBorders>
          </w:tcPr>
          <w:p w:rsidR="009D3547" w:rsidRPr="00B265F9" w:rsidRDefault="00B265F9" w:rsidP="009D3547">
            <w:r>
              <w:t>С</w:t>
            </w:r>
            <w:r w:rsidR="009D3547" w:rsidRPr="00B265F9">
              <w:t>т</w:t>
            </w:r>
            <w:r>
              <w:t>атья</w:t>
            </w:r>
            <w:r w:rsidR="009D3547" w:rsidRPr="00B265F9">
              <w:t xml:space="preserve"> 5</w:t>
            </w:r>
            <w:r>
              <w:t>.</w:t>
            </w:r>
            <w:r w:rsidR="009D3547" w:rsidRPr="00B265F9">
              <w:t xml:space="preserve"> «Требования, предъявляемые к товарам, работам, услугам.»</w:t>
            </w:r>
          </w:p>
          <w:p w:rsidR="00DF14F6" w:rsidRDefault="00DF14F6" w:rsidP="009D3547">
            <w:pPr>
              <w:rPr>
                <w:b/>
              </w:rPr>
            </w:pPr>
          </w:p>
          <w:p w:rsidR="009D0E43" w:rsidRPr="00CB56C2" w:rsidRDefault="009D0E43" w:rsidP="009D0E43">
            <w:pPr>
              <w:pStyle w:val="2"/>
              <w:tabs>
                <w:tab w:val="left" w:pos="113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CB56C2">
              <w:rPr>
                <w:rFonts w:ascii="Times New Roman" w:hAnsi="Times New Roman"/>
                <w:sz w:val="24"/>
                <w:szCs w:val="24"/>
              </w:rPr>
              <w:t>Заказчик ориентируется на приобретение качественных товаров, работ, услуг, отвечающих предъявляемым к ним требованиям назначения, имеющих необходимые потребительские свойства и технические характеристики, характеристики экологической и промышленной безопасности.</w:t>
            </w:r>
          </w:p>
          <w:p w:rsidR="00DF14F6" w:rsidRPr="00DF14F6" w:rsidRDefault="00DF14F6" w:rsidP="00133EB3"/>
        </w:tc>
        <w:tc>
          <w:tcPr>
            <w:tcW w:w="1934" w:type="pct"/>
            <w:tcBorders>
              <w:bottom w:val="single" w:sz="4" w:space="0" w:color="auto"/>
            </w:tcBorders>
          </w:tcPr>
          <w:p w:rsidR="009D3547" w:rsidRPr="00B265F9" w:rsidRDefault="00B265F9" w:rsidP="00B265F9">
            <w:pPr>
              <w:jc w:val="both"/>
            </w:pPr>
            <w:r>
              <w:t>Статья</w:t>
            </w:r>
            <w:r w:rsidR="009D3547" w:rsidRPr="00B265F9">
              <w:t xml:space="preserve"> 5</w:t>
            </w:r>
            <w:r>
              <w:t>.</w:t>
            </w:r>
            <w:r w:rsidR="009D3547" w:rsidRPr="00B265F9">
              <w:t xml:space="preserve"> «Требования, предъявляемые к товарам, работам, услугам.»</w:t>
            </w:r>
          </w:p>
          <w:p w:rsidR="00B265F9" w:rsidRDefault="00B265F9" w:rsidP="00B265F9">
            <w:pPr>
              <w:jc w:val="both"/>
              <w:rPr>
                <w:b/>
              </w:rPr>
            </w:pPr>
          </w:p>
          <w:p w:rsidR="00DF14F6" w:rsidRPr="001327B3" w:rsidRDefault="00212DFF" w:rsidP="00DF14F6">
            <w:pPr>
              <w:pStyle w:val="10"/>
              <w:tabs>
                <w:tab w:val="left" w:pos="113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F14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DF14F6" w:rsidRPr="001327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связанные с определением соответствия поставляемого товара, выполняемой работы, оказываемой услуги потребностям заказчика, устанавливаются заказчиком на основании требований, предусмотренных техническими регламентами в соответствии с </w:t>
            </w:r>
            <w:hyperlink r:id="rId8" w:history="1">
              <w:r w:rsidR="00DF14F6" w:rsidRPr="001327B3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="00DF14F6" w:rsidRPr="001327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      </w:r>
            <w:hyperlink r:id="rId9" w:history="1">
              <w:r w:rsidR="00DF14F6" w:rsidRPr="001327B3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="00DF14F6" w:rsidRPr="001327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 о стандартизации. Иные требования, связанные с определением соответствия поставляемого товара, выполняемой работы, оказываемой услуги потребностям заказчика, не предусмотренные техническими регламентами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требований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могут быть установлены Заказчиком в документации о закупке при условии обоснования необходимости использования иных требований.</w:t>
            </w:r>
          </w:p>
          <w:p w:rsidR="009D3547" w:rsidRDefault="009D3547" w:rsidP="002F15B7">
            <w:pPr>
              <w:rPr>
                <w:b/>
              </w:rPr>
            </w:pPr>
          </w:p>
        </w:tc>
        <w:tc>
          <w:tcPr>
            <w:tcW w:w="1518" w:type="pct"/>
            <w:tcBorders>
              <w:bottom w:val="single" w:sz="4" w:space="0" w:color="auto"/>
            </w:tcBorders>
          </w:tcPr>
          <w:p w:rsidR="00133EB3" w:rsidRDefault="00133EB3" w:rsidP="00133EB3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lastRenderedPageBreak/>
              <w:t>Федеральн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ый</w:t>
            </w: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закон № 223-ФЗ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,</w:t>
            </w: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ст. 4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, </w:t>
            </w: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ч. 10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,  </w:t>
            </w: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п. 1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;</w:t>
            </w:r>
          </w:p>
          <w:p w:rsidR="00133EB3" w:rsidRPr="00BD7706" w:rsidRDefault="00133EB3" w:rsidP="00133EB3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Федерального закон от 05.04.2016              № 104-ФЗ «О внесении изменений в отдельные законодательные акты  Российской Федерации по вопросам стандартизации»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, ст. 25</w:t>
            </w:r>
          </w:p>
          <w:p w:rsidR="009D3547" w:rsidRPr="00BD7706" w:rsidRDefault="009D3547" w:rsidP="004E3503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</w:p>
        </w:tc>
      </w:tr>
      <w:tr w:rsidR="00C178C2" w:rsidRPr="00521725" w:rsidTr="00133EB3">
        <w:tc>
          <w:tcPr>
            <w:tcW w:w="147" w:type="pct"/>
            <w:tcBorders>
              <w:right w:val="single" w:sz="4" w:space="0" w:color="auto"/>
            </w:tcBorders>
          </w:tcPr>
          <w:p w:rsidR="00C178C2" w:rsidRDefault="00B265F9">
            <w:r>
              <w:lastRenderedPageBreak/>
              <w:t>2.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C2" w:rsidRDefault="00C178C2" w:rsidP="002F15B7">
            <w:pPr>
              <w:rPr>
                <w:b/>
              </w:rPr>
            </w:pPr>
            <w:r w:rsidRPr="00B265F9">
              <w:t>Статья 8. «Преференции</w:t>
            </w:r>
            <w:r>
              <w:rPr>
                <w:b/>
              </w:rPr>
              <w:t>.»</w:t>
            </w:r>
          </w:p>
          <w:p w:rsidR="00C178C2" w:rsidRDefault="00C178C2" w:rsidP="002F15B7"/>
          <w:p w:rsidR="00C178C2" w:rsidRDefault="00C178C2" w:rsidP="006E7BAA">
            <w:pPr>
              <w:rPr>
                <w:b/>
              </w:rPr>
            </w:pPr>
            <w:r w:rsidRPr="00DF14F6">
              <w:t>в действующей редакции</w:t>
            </w:r>
            <w:r w:rsidR="00B265F9">
              <w:t xml:space="preserve"> отсутствуют</w:t>
            </w:r>
            <w:r>
              <w:t xml:space="preserve">, </w:t>
            </w:r>
            <w:r w:rsidRPr="00B265F9">
              <w:rPr>
                <w:b/>
              </w:rPr>
              <w:t xml:space="preserve">дополнить статью пунктами </w:t>
            </w:r>
            <w:r w:rsidR="00F17E3E" w:rsidRPr="00B265F9">
              <w:rPr>
                <w:b/>
              </w:rPr>
              <w:t>3-8</w:t>
            </w:r>
            <w:r w:rsidR="006E7BAA">
              <w:rPr>
                <w:b/>
              </w:rPr>
              <w:t xml:space="preserve"> </w:t>
            </w:r>
            <w:r w:rsidR="006E7BAA" w:rsidRPr="006E7BAA">
              <w:t>и</w:t>
            </w:r>
            <w:r w:rsidR="006E7BAA">
              <w:rPr>
                <w:b/>
              </w:rPr>
              <w:t xml:space="preserve"> </w:t>
            </w:r>
            <w:r w:rsidR="006E7BAA" w:rsidRPr="006E7BAA">
              <w:t>в наименование статьи слова</w:t>
            </w:r>
            <w:r w:rsidR="006E7BAA">
              <w:rPr>
                <w:b/>
              </w:rPr>
              <w:t xml:space="preserve"> «… и приоритеты» </w:t>
            </w:r>
            <w:r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F9" w:rsidRDefault="00B265F9" w:rsidP="00B265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65F9">
              <w:t>Статья 8.</w:t>
            </w:r>
            <w:r>
              <w:rPr>
                <w:b/>
              </w:rPr>
              <w:t xml:space="preserve"> «</w:t>
            </w:r>
            <w:r w:rsidRPr="00C178C2">
              <w:t>Преференции</w:t>
            </w:r>
            <w:r>
              <w:rPr>
                <w:b/>
              </w:rPr>
              <w:t xml:space="preserve"> и приоритеты».</w:t>
            </w:r>
          </w:p>
          <w:p w:rsidR="00B265F9" w:rsidRDefault="00B265F9" w:rsidP="00B265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78C2" w:rsidRPr="00BD7706" w:rsidRDefault="00F17E3E" w:rsidP="00B265F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178C2" w:rsidRPr="00BD7706">
              <w:rPr>
                <w:b/>
                <w:bCs/>
                <w:color w:val="000000"/>
              </w:rPr>
              <w:t xml:space="preserve">. При </w:t>
            </w:r>
            <w:r w:rsidR="00C178C2" w:rsidRPr="00BD7706">
              <w:rPr>
                <w:b/>
                <w:color w:val="000000"/>
              </w:rPr>
              <w:t>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устанавливается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(далее – приоритет)».</w:t>
            </w:r>
          </w:p>
          <w:p w:rsidR="00C178C2" w:rsidRPr="00BD7706" w:rsidRDefault="00F17E3E" w:rsidP="00B265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C178C2" w:rsidRPr="00BD7706">
              <w:rPr>
                <w:b/>
                <w:color w:val="000000"/>
              </w:rPr>
              <w:t>. Условием предоставления приоритета является включение в документацию о закупке следующих сведений: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0" w:name="sub_51"/>
            <w:r w:rsidRPr="00BD7706">
              <w:rPr>
                <w:b/>
                <w:color w:val="000000"/>
              </w:rPr>
              <w:t xml:space="preserve">а) требование об указании (декларировании) участником закупки в заявке на участие в закупке </w:t>
            </w:r>
            <w:r>
              <w:rPr>
                <w:b/>
                <w:color w:val="000000"/>
              </w:rPr>
              <w:t xml:space="preserve">           </w:t>
            </w:r>
            <w:r w:rsidRPr="00BD7706">
              <w:rPr>
                <w:b/>
                <w:color w:val="000000"/>
              </w:rPr>
              <w:t>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1" w:name="sub_52"/>
            <w:bookmarkEnd w:id="0"/>
            <w:r w:rsidRPr="00BD7706">
              <w:rPr>
                <w:b/>
                <w:color w:val="000000"/>
              </w:rPr>
      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2" w:name="sub_53"/>
            <w:bookmarkEnd w:id="1"/>
            <w:r w:rsidRPr="00BD7706">
              <w:rPr>
                <w:b/>
                <w:color w:val="000000"/>
              </w:rPr>
              <w:t>в) сведения о начальной (максимальной) цене единицы каждого товара, работы, услуги, являющихся предметом закупки;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3" w:name="sub_54"/>
            <w:bookmarkEnd w:id="2"/>
            <w:r w:rsidRPr="00BD7706">
              <w:rPr>
                <w:b/>
                <w:color w:val="000000"/>
              </w:rPr>
              <w:t xml:space="preserve"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</w:t>
            </w:r>
            <w:r w:rsidRPr="00BD7706">
              <w:rPr>
                <w:b/>
                <w:color w:val="000000"/>
              </w:rPr>
              <w:lastRenderedPageBreak/>
              <w:t>содержащая предложение о поставке иностранных товаров;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4" w:name="sub_55"/>
            <w:bookmarkEnd w:id="3"/>
            <w:r w:rsidRPr="00BD7706">
              <w:rPr>
                <w:b/>
                <w:color w:val="000000"/>
              </w:rPr>
      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      </w:r>
            <w:hyperlink w:anchor="sub_64" w:history="1">
              <w:r w:rsidRPr="00BD7706">
                <w:rPr>
                  <w:b/>
                  <w:color w:val="000000"/>
                </w:rPr>
                <w:t>пунктами "г"</w:t>
              </w:r>
            </w:hyperlink>
            <w:r w:rsidRPr="00BD7706">
              <w:rPr>
                <w:b/>
                <w:color w:val="000000"/>
              </w:rPr>
              <w:t xml:space="preserve"> и </w:t>
            </w:r>
            <w:hyperlink w:anchor="sub_65" w:history="1">
              <w:r w:rsidRPr="00BD7706">
                <w:rPr>
                  <w:b/>
                  <w:color w:val="000000"/>
                </w:rPr>
                <w:t xml:space="preserve">"д" части </w:t>
              </w:r>
              <w:r w:rsidR="00212DFF">
                <w:rPr>
                  <w:b/>
                  <w:color w:val="000000"/>
                </w:rPr>
                <w:t>5</w:t>
              </w:r>
              <w:r w:rsidRPr="00BD7706">
                <w:rPr>
                  <w:b/>
                  <w:color w:val="000000"/>
                </w:rPr>
                <w:t xml:space="preserve"> настоящей статьи</w:t>
              </w:r>
            </w:hyperlink>
            <w:r w:rsidRPr="00BD7706">
              <w:rPr>
                <w:b/>
                <w:color w:val="000000"/>
              </w:rPr>
      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</w:t>
            </w:r>
            <w:hyperlink w:anchor="sub_53" w:history="1">
              <w:r w:rsidRPr="00BD7706">
                <w:rPr>
                  <w:b/>
                  <w:color w:val="000000"/>
                </w:rPr>
                <w:t>пунктом "в"</w:t>
              </w:r>
            </w:hyperlink>
            <w:r w:rsidRPr="00BD7706">
              <w:rPr>
                <w:b/>
                <w:color w:val="000000"/>
              </w:rPr>
              <w:t xml:space="preserve"> настояще</w:t>
            </w:r>
            <w:r w:rsidR="00212DFF">
              <w:rPr>
                <w:b/>
                <w:color w:val="000000"/>
              </w:rPr>
              <w:t>й части</w:t>
            </w:r>
            <w:r w:rsidRPr="00BD7706">
              <w:rPr>
                <w:b/>
                <w:color w:val="00000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5" w:name="sub_56"/>
            <w:bookmarkEnd w:id="4"/>
            <w:r w:rsidRPr="00BD7706">
              <w:rPr>
                <w:b/>
                <w:color w:val="000000"/>
              </w:rPr>
      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6" w:name="sub_57"/>
            <w:bookmarkEnd w:id="5"/>
            <w:r w:rsidRPr="00BD7706">
              <w:rPr>
                <w:b/>
                <w:color w:val="000000"/>
              </w:rPr>
      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7" w:name="sub_58"/>
            <w:bookmarkEnd w:id="6"/>
            <w:r w:rsidRPr="00BD7706">
              <w:rPr>
                <w:b/>
                <w:color w:val="000000"/>
              </w:rPr>
              <w:t xml:space="preserve"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</w:t>
            </w:r>
            <w:r w:rsidRPr="00BD7706">
              <w:rPr>
                <w:b/>
                <w:color w:val="000000"/>
              </w:rPr>
              <w:lastRenderedPageBreak/>
              <w:t>который признан уклонившемся от заключения договора;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8" w:name="sub_59"/>
            <w:bookmarkEnd w:id="7"/>
            <w:r w:rsidRPr="00BD7706">
              <w:rPr>
                <w:b/>
                <w:color w:val="000000"/>
              </w:rPr>
              <w:t xml:space="preserve">и) условие о том, что при исполнении договора, заключенного с участником закупки, которому предоставлен приоритет в соответствии с настоящим </w:t>
            </w:r>
            <w:r w:rsidR="001652A4">
              <w:rPr>
                <w:b/>
                <w:color w:val="000000"/>
              </w:rPr>
              <w:t>Положением о закупке</w:t>
            </w:r>
            <w:r w:rsidRPr="00BD7706">
              <w:rPr>
                <w:b/>
                <w:color w:val="000000"/>
              </w:rPr>
      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bookmarkEnd w:id="8"/>
          <w:p w:rsidR="00C178C2" w:rsidRPr="00BD7706" w:rsidRDefault="00F17E3E" w:rsidP="00B265F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178C2" w:rsidRPr="00BD7706">
              <w:rPr>
                <w:b/>
                <w:color w:val="000000"/>
              </w:rPr>
              <w:t>. Приоритет не предоставляется в случаях, если: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9" w:name="sub_61"/>
            <w:r w:rsidRPr="00BD7706">
              <w:rPr>
                <w:b/>
                <w:color w:val="000000"/>
              </w:rPr>
              <w:t>а) закупка признана несостоявшейся и договор заключается с единственным участником закупки;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10" w:name="sub_62"/>
            <w:bookmarkEnd w:id="9"/>
            <w:r w:rsidRPr="00BD7706">
              <w:rPr>
                <w:b/>
                <w:color w:val="000000"/>
              </w:rPr>
      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11" w:name="sub_63"/>
            <w:bookmarkEnd w:id="10"/>
            <w:r w:rsidRPr="00BD7706">
              <w:rPr>
                <w:b/>
                <w:color w:val="000000"/>
              </w:rPr>
      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C178C2" w:rsidRPr="00BD7706" w:rsidRDefault="00C178C2" w:rsidP="00C178C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  <w:bookmarkStart w:id="12" w:name="sub_64"/>
            <w:bookmarkEnd w:id="11"/>
            <w:r w:rsidRPr="00BD7706">
              <w:rPr>
                <w:b/>
                <w:color w:val="000000"/>
              </w:rPr>
              <w:t xml:space="preserve"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</w:t>
            </w:r>
            <w:r w:rsidRPr="00BD7706">
              <w:rPr>
                <w:b/>
                <w:color w:val="000000"/>
              </w:rPr>
              <w:lastRenderedPageBreak/>
              <w:t>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      </w:r>
          </w:p>
          <w:p w:rsidR="00C178C2" w:rsidRPr="00BD7706" w:rsidRDefault="00C178C2" w:rsidP="00C178C2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3" w:name="sub_65"/>
            <w:bookmarkEnd w:id="12"/>
            <w:r w:rsidRPr="00BD7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</w:t>
            </w:r>
            <w:bookmarkEnd w:id="13"/>
            <w:r w:rsidRPr="00BD77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178C2" w:rsidRPr="00BD7706" w:rsidRDefault="00F17E3E" w:rsidP="00B265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6</w:t>
            </w:r>
            <w:r w:rsidR="00C178C2" w:rsidRPr="00BD7706">
              <w:rPr>
                <w:b/>
                <w:color w:val="000000"/>
              </w:rPr>
              <w:t xml:space="preserve">. </w:t>
            </w:r>
            <w:r w:rsidR="00C178C2" w:rsidRPr="00BD7706">
              <w:rPr>
                <w:b/>
              </w:rPr>
      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</w:t>
            </w:r>
            <w:r w:rsidR="00C178C2" w:rsidRPr="00BD7706">
              <w:rPr>
                <w:b/>
              </w:rPr>
              <w:lastRenderedPageBreak/>
              <w:t>заключается по цене договора, предложенной участником в заявке на участие в закупке.</w:t>
            </w:r>
          </w:p>
          <w:p w:rsidR="00C178C2" w:rsidRPr="00BD7706" w:rsidRDefault="00F17E3E" w:rsidP="00B265F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C178C2" w:rsidRPr="00BD7706">
              <w:rPr>
                <w:b/>
              </w:rPr>
              <w:t>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</w:r>
          </w:p>
          <w:p w:rsidR="00C178C2" w:rsidRPr="00BD7706" w:rsidRDefault="00F17E3E" w:rsidP="00B265F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C178C2" w:rsidRPr="00BD7706">
              <w:rPr>
                <w:b/>
              </w:rPr>
              <w:t xml:space="preserve">. 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</w:t>
            </w:r>
            <w:r w:rsidR="00C178C2">
              <w:rPr>
                <w:b/>
              </w:rPr>
              <w:t xml:space="preserve">        </w:t>
            </w:r>
            <w:r w:rsidR="00C178C2" w:rsidRPr="00BD7706">
              <w:rPr>
                <w:b/>
              </w:rPr>
              <w:t>15 процентов от предложенной им цены договора».</w:t>
            </w:r>
          </w:p>
          <w:p w:rsidR="00C178C2" w:rsidRDefault="00C178C2" w:rsidP="00B265F9">
            <w:pPr>
              <w:jc w:val="both"/>
              <w:rPr>
                <w:b/>
              </w:rPr>
            </w:pP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C2" w:rsidRPr="00BD7706" w:rsidRDefault="00C178C2" w:rsidP="00C178C2">
            <w:pPr>
              <w:jc w:val="both"/>
            </w:pPr>
            <w:r w:rsidRPr="00BD7706">
              <w:lastRenderedPageBreak/>
              <w:t xml:space="preserve">Пункт 1 постановления Правительства Российской Федерации от 16.09.2016 № 925 </w:t>
            </w:r>
          </w:p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>
            <w:pPr>
              <w:jc w:val="both"/>
            </w:pPr>
            <w:r w:rsidRPr="00BD7706">
              <w:t xml:space="preserve">Пункт 5 постановления Правительства Российской Федерации от 16.09.2016 № 925 </w:t>
            </w:r>
          </w:p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>
            <w:pPr>
              <w:jc w:val="both"/>
            </w:pPr>
            <w:r w:rsidRPr="00BD7706">
              <w:t xml:space="preserve">Пункт 6 постановления Правительства Российской Федерации от 16.09.2016 № 925 </w:t>
            </w:r>
          </w:p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>
            <w:pPr>
              <w:jc w:val="both"/>
            </w:pPr>
            <w:r w:rsidRPr="00BD7706">
              <w:t xml:space="preserve">Пункт 2 постановления Правительства Российской Федерации от 16.09.2016 № 925 </w:t>
            </w:r>
          </w:p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>
            <w:pPr>
              <w:jc w:val="both"/>
            </w:pPr>
            <w:r w:rsidRPr="00BD7706">
              <w:t xml:space="preserve">Пункт 3 постановления Правительства Российской Федерации от 16.09.2016 № 925 </w:t>
            </w:r>
          </w:p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/>
          <w:p w:rsidR="00C178C2" w:rsidRPr="00BD7706" w:rsidRDefault="00C178C2" w:rsidP="00C178C2">
            <w:pPr>
              <w:jc w:val="both"/>
            </w:pPr>
            <w:r w:rsidRPr="00BD7706">
              <w:t xml:space="preserve">Пункт 4 постановления Правительства Российской Федерации от 16.09.2016 № 925 </w:t>
            </w:r>
          </w:p>
          <w:p w:rsidR="00C178C2" w:rsidRPr="00BD7706" w:rsidRDefault="00C178C2" w:rsidP="004E3503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</w:p>
        </w:tc>
      </w:tr>
      <w:tr w:rsidR="001F2236" w:rsidRPr="00521725" w:rsidTr="00133EB3">
        <w:tc>
          <w:tcPr>
            <w:tcW w:w="147" w:type="pct"/>
            <w:tcBorders>
              <w:right w:val="single" w:sz="4" w:space="0" w:color="auto"/>
            </w:tcBorders>
          </w:tcPr>
          <w:p w:rsidR="00C178C2" w:rsidRDefault="000457BA">
            <w:r>
              <w:lastRenderedPageBreak/>
              <w:t>3.</w:t>
            </w:r>
          </w:p>
          <w:p w:rsidR="001F2236" w:rsidRPr="00C178C2" w:rsidRDefault="001F2236" w:rsidP="00C178C2"/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35" w:rsidRDefault="002C4AE3" w:rsidP="002F15B7">
            <w:r w:rsidRPr="00815A9A">
              <w:t xml:space="preserve">п. 3 </w:t>
            </w:r>
            <w:r w:rsidR="006814BD" w:rsidRPr="00815A9A">
              <w:t>ст.</w:t>
            </w:r>
            <w:r w:rsidRPr="00815A9A">
              <w:t>1</w:t>
            </w:r>
            <w:r w:rsidR="006814BD" w:rsidRPr="00815A9A">
              <w:t xml:space="preserve">5 </w:t>
            </w:r>
            <w:r w:rsidR="00636135" w:rsidRPr="00815A9A">
              <w:t>«</w:t>
            </w:r>
            <w:r w:rsidRPr="00815A9A">
              <w:t>Содержание извещения и документации о закупке</w:t>
            </w:r>
            <w:r w:rsidR="00636135" w:rsidRPr="00815A9A">
              <w:t>»</w:t>
            </w:r>
          </w:p>
          <w:p w:rsidR="00815A9A" w:rsidRPr="00815A9A" w:rsidRDefault="00815A9A" w:rsidP="002F15B7"/>
          <w:p w:rsidR="002C4AE3" w:rsidRPr="00CB56C2" w:rsidRDefault="002C4AE3" w:rsidP="002C4AE3">
            <w:pPr>
              <w:pStyle w:val="10"/>
              <w:numPr>
                <w:ilvl w:val="3"/>
                <w:numId w:val="4"/>
              </w:numPr>
              <w:tabs>
                <w:tab w:val="left" w:pos="0"/>
                <w:tab w:val="left" w:pos="1134"/>
              </w:tabs>
              <w:spacing w:after="12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6C2">
              <w:rPr>
                <w:rFonts w:ascii="Times New Roman" w:hAnsi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      </w:r>
          </w:p>
          <w:p w:rsidR="00EA1869" w:rsidRPr="00BD7706" w:rsidRDefault="00EA1869" w:rsidP="002F15B7">
            <w:pPr>
              <w:autoSpaceDE w:val="0"/>
              <w:autoSpaceDN w:val="0"/>
              <w:adjustRightInd w:val="0"/>
            </w:pPr>
          </w:p>
          <w:p w:rsidR="00EA1869" w:rsidRPr="00BD7706" w:rsidRDefault="00EA1869" w:rsidP="002F15B7">
            <w:pPr>
              <w:autoSpaceDE w:val="0"/>
              <w:autoSpaceDN w:val="0"/>
              <w:adjustRightInd w:val="0"/>
            </w:pPr>
          </w:p>
          <w:p w:rsidR="00EA1869" w:rsidRPr="00BD7706" w:rsidRDefault="00EA1869" w:rsidP="002F15B7">
            <w:pPr>
              <w:autoSpaceDE w:val="0"/>
              <w:autoSpaceDN w:val="0"/>
              <w:adjustRightInd w:val="0"/>
            </w:pPr>
          </w:p>
          <w:p w:rsidR="00EA1869" w:rsidRPr="00BD7706" w:rsidRDefault="00EA1869" w:rsidP="002F15B7">
            <w:pPr>
              <w:autoSpaceDE w:val="0"/>
              <w:autoSpaceDN w:val="0"/>
              <w:adjustRightInd w:val="0"/>
            </w:pPr>
          </w:p>
          <w:p w:rsidR="00EA1869" w:rsidRPr="00BD7706" w:rsidRDefault="00EA1869" w:rsidP="002F15B7">
            <w:pPr>
              <w:autoSpaceDE w:val="0"/>
              <w:autoSpaceDN w:val="0"/>
              <w:adjustRightInd w:val="0"/>
            </w:pPr>
          </w:p>
          <w:p w:rsidR="00EA1869" w:rsidRPr="00BD7706" w:rsidRDefault="00EA1869" w:rsidP="002F15B7">
            <w:pPr>
              <w:autoSpaceDE w:val="0"/>
              <w:autoSpaceDN w:val="0"/>
              <w:adjustRightInd w:val="0"/>
            </w:pPr>
          </w:p>
          <w:p w:rsidR="00EA1869" w:rsidRPr="00BD7706" w:rsidRDefault="00EA1869" w:rsidP="002F15B7">
            <w:pPr>
              <w:autoSpaceDE w:val="0"/>
              <w:autoSpaceDN w:val="0"/>
              <w:adjustRightInd w:val="0"/>
            </w:pPr>
          </w:p>
          <w:p w:rsidR="00EA1869" w:rsidRPr="00BD7706" w:rsidRDefault="00EA1869" w:rsidP="002F15B7">
            <w:pPr>
              <w:autoSpaceDE w:val="0"/>
              <w:autoSpaceDN w:val="0"/>
              <w:adjustRightInd w:val="0"/>
            </w:pPr>
          </w:p>
          <w:p w:rsidR="00EA1869" w:rsidRPr="00BD7706" w:rsidRDefault="00EA1869" w:rsidP="002F15B7">
            <w:pPr>
              <w:autoSpaceDE w:val="0"/>
              <w:autoSpaceDN w:val="0"/>
              <w:adjustRightInd w:val="0"/>
            </w:pPr>
          </w:p>
          <w:p w:rsidR="00EA1869" w:rsidRPr="00BD7706" w:rsidRDefault="00EA1869" w:rsidP="002F15B7">
            <w:pPr>
              <w:autoSpaceDE w:val="0"/>
              <w:autoSpaceDN w:val="0"/>
              <w:adjustRightInd w:val="0"/>
            </w:pPr>
          </w:p>
          <w:p w:rsidR="00EA1869" w:rsidRPr="00BD7706" w:rsidRDefault="00EA1869" w:rsidP="002F15B7">
            <w:pPr>
              <w:autoSpaceDE w:val="0"/>
              <w:autoSpaceDN w:val="0"/>
              <w:adjustRightInd w:val="0"/>
            </w:pPr>
          </w:p>
          <w:p w:rsidR="006326DA" w:rsidRPr="00BD7706" w:rsidRDefault="006326DA" w:rsidP="002F15B7">
            <w:pPr>
              <w:autoSpaceDE w:val="0"/>
              <w:autoSpaceDN w:val="0"/>
              <w:adjustRightInd w:val="0"/>
            </w:pPr>
          </w:p>
          <w:p w:rsidR="006326DA" w:rsidRPr="00BD7706" w:rsidRDefault="006326DA" w:rsidP="002F15B7">
            <w:pPr>
              <w:autoSpaceDE w:val="0"/>
              <w:autoSpaceDN w:val="0"/>
              <w:adjustRightInd w:val="0"/>
            </w:pPr>
          </w:p>
          <w:p w:rsidR="00636135" w:rsidRPr="00BD7706" w:rsidRDefault="00636135" w:rsidP="002F15B7">
            <w:pPr>
              <w:autoSpaceDE w:val="0"/>
              <w:autoSpaceDN w:val="0"/>
              <w:adjustRightInd w:val="0"/>
            </w:pPr>
          </w:p>
          <w:p w:rsidR="00636135" w:rsidRPr="00BD7706" w:rsidRDefault="00636135" w:rsidP="002F15B7"/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47" w:rsidRPr="00D2756D" w:rsidRDefault="002C4AE3" w:rsidP="002F15B7">
            <w:r w:rsidRPr="00D2756D">
              <w:t>п. 3 ст. 15 «Содержание извещения и документации о закупке</w:t>
            </w:r>
            <w:r w:rsidR="00960E47" w:rsidRPr="00D2756D">
              <w:t>»</w:t>
            </w:r>
          </w:p>
          <w:p w:rsidR="00815A9A" w:rsidRPr="00BD7706" w:rsidRDefault="00815A9A" w:rsidP="002F15B7">
            <w:pPr>
              <w:rPr>
                <w:b/>
              </w:rPr>
            </w:pPr>
          </w:p>
          <w:p w:rsidR="00EB7878" w:rsidRPr="00BD7706" w:rsidRDefault="002C4AE3" w:rsidP="00DF14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1) </w:t>
            </w:r>
            <w:r w:rsidR="00133EB3">
              <w:rPr>
                <w:b/>
              </w:rPr>
              <w:t>«</w:t>
            </w:r>
            <w:bookmarkStart w:id="14" w:name="_GoBack"/>
            <w:r w:rsidR="00133EB3">
              <w:rPr>
                <w:b/>
              </w:rPr>
              <w:t>т</w:t>
            </w:r>
            <w:r w:rsidR="004E5672" w:rsidRPr="00BD7706">
              <w:rPr>
                <w:b/>
              </w:rPr>
              <w:t>ребования</w:t>
            </w:r>
            <w:r w:rsidR="00DF14F6">
              <w:rPr>
                <w:b/>
              </w:rPr>
              <w:t>, предъявляемые к товарам, работам, услугам,</w:t>
            </w:r>
            <w:r w:rsidR="004E5672" w:rsidRPr="00BD7706">
              <w:rPr>
                <w:b/>
              </w:rPr>
              <w:t xml:space="preserve"> </w:t>
            </w:r>
            <w:r w:rsidR="00DF14F6" w:rsidRPr="00BD7706">
              <w:rPr>
                <w:b/>
              </w:rPr>
              <w:t>связанные с определением соответствия поставляемого товара, выполняемой работы, о</w:t>
            </w:r>
            <w:r w:rsidR="00133EB3">
              <w:rPr>
                <w:b/>
              </w:rPr>
              <w:t>казываемой услуги потребностям З</w:t>
            </w:r>
            <w:r w:rsidR="00DF14F6" w:rsidRPr="00BD7706">
              <w:rPr>
                <w:b/>
              </w:rPr>
              <w:t>аказчика</w:t>
            </w:r>
            <w:bookmarkEnd w:id="14"/>
            <w:r w:rsidR="00DF14F6">
              <w:rPr>
                <w:b/>
              </w:rPr>
              <w:t>, изложенные в соответствии с правилами ст. 5 настоящего  Положения о закупке.</w:t>
            </w:r>
            <w:r w:rsidR="00133EB3">
              <w:rPr>
                <w:b/>
              </w:rPr>
              <w:t>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5B266B" w:rsidP="004E3503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Федеральн</w:t>
            </w:r>
            <w:r w:rsidR="00AF2D72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ый</w:t>
            </w: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закон № 223-ФЗ</w:t>
            </w:r>
            <w:r w:rsidR="00AF2D72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,</w:t>
            </w:r>
            <w:r w:rsidR="00AF2D72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ст. 4</w:t>
            </w:r>
            <w:r w:rsidR="00AF2D72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, </w:t>
            </w:r>
            <w:r w:rsidR="00AF2D72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ч. 10</w:t>
            </w:r>
            <w:r w:rsidR="00AF2D72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,  </w:t>
            </w:r>
            <w:r w:rsidR="00AF2D72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п. 1</w:t>
            </w:r>
            <w:r w:rsidR="00AF2D72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;</w:t>
            </w:r>
          </w:p>
          <w:p w:rsidR="00521725" w:rsidRPr="00BD7706" w:rsidRDefault="005B266B" w:rsidP="004E3503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Федерального закон </w:t>
            </w:r>
            <w:r w:rsidR="00521725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от </w:t>
            </w:r>
            <w:r w:rsidR="00CB5E3C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0</w:t>
            </w:r>
            <w:r w:rsidR="00521725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5</w:t>
            </w:r>
            <w:r w:rsidR="00CB5E3C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.04.</w:t>
            </w:r>
            <w:r w:rsidR="00521725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2016</w:t>
            </w:r>
            <w:r w:rsidR="00CB5E3C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</w:t>
            </w: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            </w:t>
            </w:r>
            <w:r w:rsidR="00CB5E3C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№</w:t>
            </w:r>
            <w:r w:rsidR="00521725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 104-</w:t>
            </w:r>
            <w:r w:rsidR="00CB5E3C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ФЗ</w:t>
            </w: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</w:t>
            </w:r>
            <w:r w:rsidR="00CB5E3C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«О</w:t>
            </w:r>
            <w:r w:rsidR="00521725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внесении изменений в отдельные законодательные акты </w:t>
            </w: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Российской Ф</w:t>
            </w:r>
            <w:r w:rsidR="00521725"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едерации по вопросам стандартизации</w:t>
            </w:r>
            <w:r w:rsidRPr="00BD770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»</w:t>
            </w:r>
            <w:r w:rsidR="00AF2D72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, ст. 25</w:t>
            </w:r>
          </w:p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126E33" w:rsidRPr="00BD7706" w:rsidRDefault="00126E33" w:rsidP="00BD7706"/>
          <w:p w:rsidR="00CE33F1" w:rsidRPr="00BD7706" w:rsidRDefault="00CE33F1" w:rsidP="00BD7706"/>
          <w:p w:rsidR="00CE33F1" w:rsidRPr="00BD7706" w:rsidRDefault="00CE33F1" w:rsidP="00BD7706"/>
          <w:p w:rsidR="00CE33F1" w:rsidRPr="00BD7706" w:rsidRDefault="00CE33F1" w:rsidP="00BD7706"/>
          <w:p w:rsidR="00126E33" w:rsidRPr="00BD7706" w:rsidRDefault="00126E33" w:rsidP="00BD7706"/>
          <w:p w:rsidR="00521725" w:rsidRPr="00BD7706" w:rsidRDefault="00521725" w:rsidP="00BD7706">
            <w:pPr>
              <w:pStyle w:val="ConsPlusNormal"/>
            </w:pPr>
          </w:p>
        </w:tc>
      </w:tr>
      <w:tr w:rsidR="001F2236" w:rsidTr="00B265F9">
        <w:tc>
          <w:tcPr>
            <w:tcW w:w="147" w:type="pct"/>
          </w:tcPr>
          <w:p w:rsidR="001F2236" w:rsidRDefault="000457BA">
            <w:r>
              <w:lastRenderedPageBreak/>
              <w:t>4</w:t>
            </w:r>
            <w:r w:rsidR="007029E5">
              <w:t>.</w:t>
            </w:r>
          </w:p>
        </w:tc>
        <w:tc>
          <w:tcPr>
            <w:tcW w:w="1401" w:type="pct"/>
            <w:tcBorders>
              <w:top w:val="single" w:sz="4" w:space="0" w:color="auto"/>
              <w:bottom w:val="single" w:sz="4" w:space="0" w:color="auto"/>
            </w:tcBorders>
          </w:tcPr>
          <w:p w:rsidR="00C21788" w:rsidRPr="00D2756D" w:rsidRDefault="00C21788" w:rsidP="00C21788">
            <w:r w:rsidRPr="00D2756D">
              <w:t>п. 3 ст. 15 «Содержание извещения и документации о закупке».</w:t>
            </w:r>
          </w:p>
          <w:p w:rsidR="00C21788" w:rsidRDefault="00C21788" w:rsidP="002F15B7"/>
          <w:p w:rsidR="00960E47" w:rsidRPr="007029E5" w:rsidRDefault="00C21788" w:rsidP="00C21788">
            <w:r>
              <w:t xml:space="preserve">нет </w:t>
            </w:r>
            <w:r w:rsidRPr="00DF14F6">
              <w:t>в действующей редакции</w:t>
            </w:r>
            <w:r>
              <w:t xml:space="preserve">, </w:t>
            </w:r>
            <w:r w:rsidRPr="00D2756D">
              <w:rPr>
                <w:b/>
              </w:rPr>
              <w:t>дополнить п. 3 ст. 15 подпунктом 27)</w:t>
            </w:r>
            <w:r w:rsidRPr="00D2756D">
              <w:t xml:space="preserve"> </w:t>
            </w:r>
          </w:p>
        </w:tc>
        <w:tc>
          <w:tcPr>
            <w:tcW w:w="1934" w:type="pct"/>
            <w:tcBorders>
              <w:top w:val="single" w:sz="4" w:space="0" w:color="auto"/>
              <w:bottom w:val="single" w:sz="4" w:space="0" w:color="auto"/>
            </w:tcBorders>
          </w:tcPr>
          <w:p w:rsidR="00CE51C1" w:rsidRPr="00D2756D" w:rsidRDefault="00133EB3" w:rsidP="00133EB3">
            <w:r w:rsidRPr="00D2756D">
              <w:t>п. 3 ст. 15 «Содержание извещения и документации о закупке»</w:t>
            </w:r>
          </w:p>
          <w:p w:rsidR="00815A9A" w:rsidRDefault="00815A9A" w:rsidP="00133EB3">
            <w:pPr>
              <w:rPr>
                <w:b/>
              </w:rPr>
            </w:pPr>
          </w:p>
          <w:p w:rsidR="007B7EBA" w:rsidRDefault="007B7EBA" w:rsidP="003C407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133EB3">
              <w:rPr>
                <w:b/>
              </w:rPr>
              <w:t xml:space="preserve">27) </w:t>
            </w:r>
            <w:r>
              <w:rPr>
                <w:b/>
              </w:rPr>
              <w:t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      </w:r>
            <w:r w:rsidR="004669CB">
              <w:rPr>
                <w:b/>
              </w:rPr>
              <w:t>.</w:t>
            </w:r>
          </w:p>
          <w:p w:rsidR="007877E0" w:rsidRPr="00B56764" w:rsidRDefault="007877E0" w:rsidP="003C4079">
            <w:pPr>
              <w:jc w:val="both"/>
              <w:rPr>
                <w:b/>
              </w:rPr>
            </w:pP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</w:tcPr>
          <w:p w:rsidR="00863846" w:rsidRPr="007A54E0" w:rsidRDefault="00863846" w:rsidP="004669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54E0">
              <w:rPr>
                <w:sz w:val="22"/>
                <w:szCs w:val="22"/>
              </w:rPr>
              <w:t>Федеральн</w:t>
            </w:r>
            <w:r w:rsidR="00AC219A">
              <w:rPr>
                <w:sz w:val="22"/>
                <w:szCs w:val="22"/>
              </w:rPr>
              <w:t>ый</w:t>
            </w:r>
            <w:r w:rsidRPr="007A54E0">
              <w:rPr>
                <w:sz w:val="22"/>
                <w:szCs w:val="22"/>
              </w:rPr>
              <w:t xml:space="preserve"> закон от 31.12.2014 № 488-ФЗ </w:t>
            </w:r>
            <w:r w:rsidR="00D21E8B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«</w:t>
            </w:r>
            <w:r w:rsidRPr="007A54E0">
              <w:rPr>
                <w:sz w:val="22"/>
                <w:szCs w:val="22"/>
              </w:rPr>
              <w:t>О промышленной политике в Российской Федерации</w:t>
            </w:r>
            <w:r>
              <w:rPr>
                <w:sz w:val="22"/>
                <w:szCs w:val="22"/>
              </w:rPr>
              <w:t>»</w:t>
            </w:r>
            <w:r w:rsidR="00AC219A">
              <w:rPr>
                <w:sz w:val="22"/>
                <w:szCs w:val="22"/>
              </w:rPr>
              <w:t>,</w:t>
            </w:r>
            <w:r w:rsidR="00AC219A" w:rsidRPr="007A54E0">
              <w:rPr>
                <w:sz w:val="22"/>
                <w:szCs w:val="22"/>
              </w:rPr>
              <w:t xml:space="preserve"> </w:t>
            </w:r>
            <w:r w:rsidR="00AC219A">
              <w:rPr>
                <w:sz w:val="22"/>
                <w:szCs w:val="22"/>
              </w:rPr>
              <w:t>с</w:t>
            </w:r>
            <w:r w:rsidR="00AC219A" w:rsidRPr="007A54E0">
              <w:rPr>
                <w:sz w:val="22"/>
                <w:szCs w:val="22"/>
              </w:rPr>
              <w:t>т. 18</w:t>
            </w:r>
            <w:r w:rsidR="00AC219A">
              <w:rPr>
                <w:sz w:val="22"/>
                <w:szCs w:val="22"/>
              </w:rPr>
              <w:t>;</w:t>
            </w:r>
          </w:p>
          <w:p w:rsidR="007B7EBA" w:rsidRDefault="00863846" w:rsidP="004669CB">
            <w:pPr>
              <w:jc w:val="both"/>
            </w:pPr>
            <w:r>
              <w:t xml:space="preserve">постановление </w:t>
            </w:r>
            <w:r w:rsidR="007B7EBA">
              <w:t>П</w:t>
            </w:r>
            <w:r w:rsidR="007B7EBA" w:rsidRPr="000C75C7">
              <w:t>равительства Р</w:t>
            </w:r>
            <w:r w:rsidR="007B7EBA">
              <w:t xml:space="preserve">оссийской </w:t>
            </w:r>
            <w:r w:rsidR="007B7EBA" w:rsidRPr="000C75C7">
              <w:t>Ф</w:t>
            </w:r>
            <w:r w:rsidR="007B7EBA">
              <w:t xml:space="preserve">едерации </w:t>
            </w:r>
            <w:r w:rsidR="007B7EBA" w:rsidRPr="000C75C7">
              <w:t>от 16</w:t>
            </w:r>
            <w:r w:rsidR="00183FAD">
              <w:t>.09.</w:t>
            </w:r>
            <w:r w:rsidR="007B7EBA" w:rsidRPr="000C75C7">
              <w:t xml:space="preserve">2016 № 925 </w:t>
            </w:r>
            <w:r w:rsidR="00D21E8B">
              <w:t xml:space="preserve">                         </w:t>
            </w:r>
            <w:r w:rsidR="007B7EBA" w:rsidRPr="000C75C7">
              <w:t>«О приоритете товаров российского происхождения, работ, услуг, выполняемых, оказываемых российскими лицами, по отношению к товарам, происходящим их иностранного государства, работам, услугам, выполняемым, оказываемым иностранными лицами».</w:t>
            </w:r>
          </w:p>
          <w:p w:rsidR="00E017FA" w:rsidRPr="00060103" w:rsidRDefault="00E017FA" w:rsidP="004669CB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B265F9" w:rsidTr="00133EB3">
        <w:tc>
          <w:tcPr>
            <w:tcW w:w="147" w:type="pct"/>
          </w:tcPr>
          <w:p w:rsidR="00B265F9" w:rsidRDefault="00B265F9">
            <w:r>
              <w:t>5.</w:t>
            </w:r>
          </w:p>
        </w:tc>
        <w:tc>
          <w:tcPr>
            <w:tcW w:w="1401" w:type="pct"/>
            <w:tcBorders>
              <w:top w:val="single" w:sz="4" w:space="0" w:color="auto"/>
            </w:tcBorders>
          </w:tcPr>
          <w:p w:rsidR="00B265F9" w:rsidRPr="00AF3B8C" w:rsidRDefault="00B265F9" w:rsidP="00B265F9">
            <w:r w:rsidRPr="00AF3B8C">
              <w:t>п. 3 ст. 62 «Общий порядок заключения договора»</w:t>
            </w:r>
          </w:p>
          <w:p w:rsidR="00AF3B8C" w:rsidRPr="00BD7706" w:rsidRDefault="00AF3B8C" w:rsidP="00B265F9">
            <w:pPr>
              <w:rPr>
                <w:b/>
              </w:rPr>
            </w:pPr>
          </w:p>
          <w:p w:rsidR="00B265F9" w:rsidRPr="00BD7706" w:rsidRDefault="00B265F9" w:rsidP="00B265F9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eastAsia="Calibri"/>
              </w:rPr>
            </w:pPr>
            <w:r w:rsidRPr="00BD7706">
              <w:rPr>
                <w:rFonts w:eastAsia="Calibri"/>
              </w:rPr>
              <w:t>«Договор с победителем либо иным лицом, с которым в соответствии с настоящим Положением о закупке заключается такой договор по результатам проведения закупки, заключается в срок установленный документацией о закупке, при этом договор может быть заключен Заказчиком не ранее 10 дней и не позднее 20 дней со дня подписания</w:t>
            </w:r>
            <w:r w:rsidRPr="00BD7706">
              <w:rPr>
                <w:rFonts w:eastAsia="Calibri"/>
                <w:b/>
              </w:rPr>
              <w:t xml:space="preserve"> </w:t>
            </w:r>
            <w:r w:rsidRPr="00BD7706">
              <w:rPr>
                <w:rFonts w:eastAsia="Calibri"/>
              </w:rPr>
              <w:t>итогового протокола.».</w:t>
            </w:r>
          </w:p>
          <w:p w:rsidR="00B265F9" w:rsidRDefault="00B265F9" w:rsidP="00C21788">
            <w:pPr>
              <w:rPr>
                <w:b/>
              </w:rPr>
            </w:pPr>
          </w:p>
        </w:tc>
        <w:tc>
          <w:tcPr>
            <w:tcW w:w="1934" w:type="pct"/>
            <w:tcBorders>
              <w:top w:val="single" w:sz="4" w:space="0" w:color="auto"/>
            </w:tcBorders>
          </w:tcPr>
          <w:p w:rsidR="00B265F9" w:rsidRPr="00AF3B8C" w:rsidRDefault="00B265F9" w:rsidP="00B265F9">
            <w:r w:rsidRPr="00AF3B8C">
              <w:t>п. 3 ст. 62 «Общий порядок заключения договора»</w:t>
            </w:r>
          </w:p>
          <w:p w:rsidR="00AF3B8C" w:rsidRPr="00BD7706" w:rsidRDefault="00AF3B8C" w:rsidP="00B265F9">
            <w:pPr>
              <w:rPr>
                <w:b/>
              </w:rPr>
            </w:pPr>
          </w:p>
          <w:p w:rsidR="00B265F9" w:rsidRPr="00BD7706" w:rsidRDefault="00B265F9" w:rsidP="00B265F9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BD7706">
              <w:rPr>
                <w:rFonts w:eastAsia="Calibri"/>
              </w:rPr>
              <w:t xml:space="preserve">Договор с победителем либо иным лицом, с которым в соответствии с настоящим Положением о закупке заключается такой договор по результатам проведения закупки, заключается в срок, установленный документацией о закупке, при этом договор может быть заключен Заказчиком не ранее 10 дней и не позднее 20 дней </w:t>
            </w:r>
            <w:r w:rsidRPr="00BD7706">
              <w:rPr>
                <w:rFonts w:eastAsia="Calibri"/>
                <w:b/>
              </w:rPr>
              <w:t>с даты размещения в единой информационной системе протоколов, сформированных Заказчиком по результатам Закупки, за исключением случаев заключения договора  по результатам закупки у единственного поставщика (подрядчика, исполнителя).</w:t>
            </w:r>
          </w:p>
          <w:p w:rsidR="00B265F9" w:rsidRDefault="00B265F9" w:rsidP="00133EB3">
            <w:pPr>
              <w:rPr>
                <w:b/>
              </w:rPr>
            </w:pPr>
          </w:p>
        </w:tc>
        <w:tc>
          <w:tcPr>
            <w:tcW w:w="1518" w:type="pct"/>
            <w:tcBorders>
              <w:top w:val="single" w:sz="4" w:space="0" w:color="auto"/>
            </w:tcBorders>
          </w:tcPr>
          <w:p w:rsidR="00B265F9" w:rsidRPr="007A54E0" w:rsidRDefault="00B265F9" w:rsidP="004669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7706">
              <w:t>Федеральный закон от 26.07.2006 № 135-ФЗ «О защите конкуренции», ст.18.1, ч. 4.</w:t>
            </w:r>
          </w:p>
        </w:tc>
      </w:tr>
    </w:tbl>
    <w:p w:rsidR="008C0A3A" w:rsidRPr="00B37373" w:rsidRDefault="008C0A3A">
      <w:pPr>
        <w:rPr>
          <w:sz w:val="2"/>
          <w:szCs w:val="2"/>
        </w:rPr>
      </w:pPr>
    </w:p>
    <w:sectPr w:rsidR="008C0A3A" w:rsidRPr="00B37373" w:rsidSect="00C506D8">
      <w:headerReference w:type="even" r:id="rId10"/>
      <w:headerReference w:type="default" r:id="rId11"/>
      <w:footerReference w:type="default" r:id="rId12"/>
      <w:pgSz w:w="16838" w:h="11906" w:orient="landscape"/>
      <w:pgMar w:top="567" w:right="567" w:bottom="567" w:left="567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44" w:rsidRDefault="00684744" w:rsidP="00174B99">
      <w:r>
        <w:separator/>
      </w:r>
    </w:p>
  </w:endnote>
  <w:endnote w:type="continuationSeparator" w:id="0">
    <w:p w:rsidR="00684744" w:rsidRDefault="00684744" w:rsidP="0017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6A" w:rsidRDefault="00166DA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1AC4">
      <w:rPr>
        <w:noProof/>
      </w:rPr>
      <w:t>2</w:t>
    </w:r>
    <w:r>
      <w:rPr>
        <w:noProof/>
      </w:rPr>
      <w:fldChar w:fldCharType="end"/>
    </w:r>
  </w:p>
  <w:p w:rsidR="0034506A" w:rsidRDefault="003450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44" w:rsidRDefault="00684744" w:rsidP="00174B99">
      <w:r>
        <w:separator/>
      </w:r>
    </w:p>
  </w:footnote>
  <w:footnote w:type="continuationSeparator" w:id="0">
    <w:p w:rsidR="00684744" w:rsidRDefault="00684744" w:rsidP="0017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76" w:rsidRDefault="00815183" w:rsidP="00812A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2A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2A76" w:rsidRDefault="00812A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76" w:rsidRPr="00812A76" w:rsidRDefault="00812A76" w:rsidP="00BD45B1">
    <w:pPr>
      <w:pStyle w:val="a4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3FF4"/>
    <w:multiLevelType w:val="multilevel"/>
    <w:tmpl w:val="82A2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481D57"/>
    <w:multiLevelType w:val="multilevel"/>
    <w:tmpl w:val="6AC686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355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CDE44AC"/>
    <w:multiLevelType w:val="multilevel"/>
    <w:tmpl w:val="D36EBA92"/>
    <w:lvl w:ilvl="0">
      <w:start w:val="1"/>
      <w:numFmt w:val="decimal"/>
      <w:pStyle w:val="1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2">
      <w:start w:val="1"/>
      <w:numFmt w:val="decimal"/>
      <w:pStyle w:val="-4"/>
      <w:lvlText w:val="%1.%2.%3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-5"/>
      <w:lvlText w:val="%1.%2.%3.%4"/>
      <w:lvlJc w:val="left"/>
      <w:pPr>
        <w:tabs>
          <w:tab w:val="num" w:pos="1674"/>
        </w:tabs>
        <w:ind w:left="-27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6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russianLower"/>
      <w:pStyle w:val="-7"/>
      <w:lvlText w:val="%6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6">
      <w:start w:val="1"/>
      <w:numFmt w:val="lowerRoman"/>
      <w:pStyle w:val="-3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hint="default"/>
      </w:rPr>
    </w:lvl>
  </w:abstractNum>
  <w:abstractNum w:abstractNumId="3">
    <w:nsid w:val="3F491CDE"/>
    <w:multiLevelType w:val="multilevel"/>
    <w:tmpl w:val="39144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C94631A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429"/>
        </w:tabs>
        <w:ind w:left="1429" w:firstLine="709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869"/>
        </w:tabs>
        <w:ind w:left="2869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4309"/>
        </w:tabs>
        <w:ind w:left="4309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5029"/>
        </w:tabs>
        <w:ind w:left="5029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749"/>
        </w:tabs>
        <w:ind w:left="5749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6469"/>
        </w:tabs>
        <w:ind w:left="6469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7189"/>
        </w:tabs>
        <w:ind w:left="7189" w:hanging="180"/>
      </w:pPr>
      <w:rPr>
        <w:rFonts w:ascii="Times New Roman" w:eastAsia="Times New Roman" w:hAnsi="Times New Roman" w:hint="default"/>
        <w:sz w:val="24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36"/>
    <w:rsid w:val="000008D1"/>
    <w:rsid w:val="00034B91"/>
    <w:rsid w:val="00036DCC"/>
    <w:rsid w:val="00041876"/>
    <w:rsid w:val="000457BA"/>
    <w:rsid w:val="00046FCC"/>
    <w:rsid w:val="00060103"/>
    <w:rsid w:val="000A1215"/>
    <w:rsid w:val="000A469C"/>
    <w:rsid w:val="000A6956"/>
    <w:rsid w:val="000D4DC6"/>
    <w:rsid w:val="00106059"/>
    <w:rsid w:val="001071A5"/>
    <w:rsid w:val="00126E33"/>
    <w:rsid w:val="001318C1"/>
    <w:rsid w:val="00133EB3"/>
    <w:rsid w:val="00136BD1"/>
    <w:rsid w:val="0016362A"/>
    <w:rsid w:val="001652A4"/>
    <w:rsid w:val="00166DA9"/>
    <w:rsid w:val="00174B99"/>
    <w:rsid w:val="00183FAD"/>
    <w:rsid w:val="0019212F"/>
    <w:rsid w:val="0019254A"/>
    <w:rsid w:val="001F2236"/>
    <w:rsid w:val="00212DFF"/>
    <w:rsid w:val="00234BDE"/>
    <w:rsid w:val="00244ED7"/>
    <w:rsid w:val="00254257"/>
    <w:rsid w:val="002877EE"/>
    <w:rsid w:val="0029009E"/>
    <w:rsid w:val="002A2BBB"/>
    <w:rsid w:val="002B0B26"/>
    <w:rsid w:val="002B3E33"/>
    <w:rsid w:val="002C4AE3"/>
    <w:rsid w:val="002D72EA"/>
    <w:rsid w:val="002E3A0C"/>
    <w:rsid w:val="002F15B7"/>
    <w:rsid w:val="002F33DB"/>
    <w:rsid w:val="002F348F"/>
    <w:rsid w:val="00300E28"/>
    <w:rsid w:val="0032268A"/>
    <w:rsid w:val="00324826"/>
    <w:rsid w:val="0034115A"/>
    <w:rsid w:val="0034506A"/>
    <w:rsid w:val="003870D1"/>
    <w:rsid w:val="0039389C"/>
    <w:rsid w:val="00397495"/>
    <w:rsid w:val="003C4079"/>
    <w:rsid w:val="003F1D93"/>
    <w:rsid w:val="004116DA"/>
    <w:rsid w:val="00425A49"/>
    <w:rsid w:val="00457E15"/>
    <w:rsid w:val="00464D24"/>
    <w:rsid w:val="004669CB"/>
    <w:rsid w:val="00482D00"/>
    <w:rsid w:val="00490004"/>
    <w:rsid w:val="004C56A3"/>
    <w:rsid w:val="004E3503"/>
    <w:rsid w:val="004E5672"/>
    <w:rsid w:val="004F67D3"/>
    <w:rsid w:val="00516823"/>
    <w:rsid w:val="00521725"/>
    <w:rsid w:val="00555AEE"/>
    <w:rsid w:val="005A549D"/>
    <w:rsid w:val="005B266B"/>
    <w:rsid w:val="005B3D30"/>
    <w:rsid w:val="005E00FB"/>
    <w:rsid w:val="005E0316"/>
    <w:rsid w:val="006135F2"/>
    <w:rsid w:val="00615C5D"/>
    <w:rsid w:val="006326DA"/>
    <w:rsid w:val="00636135"/>
    <w:rsid w:val="00642F87"/>
    <w:rsid w:val="006814BD"/>
    <w:rsid w:val="0068421F"/>
    <w:rsid w:val="00684744"/>
    <w:rsid w:val="00691239"/>
    <w:rsid w:val="00695928"/>
    <w:rsid w:val="006961B6"/>
    <w:rsid w:val="006A3FBA"/>
    <w:rsid w:val="006C4089"/>
    <w:rsid w:val="006D0E82"/>
    <w:rsid w:val="006E35F1"/>
    <w:rsid w:val="006E7BAA"/>
    <w:rsid w:val="007029E5"/>
    <w:rsid w:val="00714214"/>
    <w:rsid w:val="00735961"/>
    <w:rsid w:val="00757DFB"/>
    <w:rsid w:val="00767261"/>
    <w:rsid w:val="0077434C"/>
    <w:rsid w:val="00775FE9"/>
    <w:rsid w:val="007877E0"/>
    <w:rsid w:val="00790C45"/>
    <w:rsid w:val="007A24CB"/>
    <w:rsid w:val="007B5980"/>
    <w:rsid w:val="007B7EBA"/>
    <w:rsid w:val="007C00BB"/>
    <w:rsid w:val="007C1AB0"/>
    <w:rsid w:val="007C7E1F"/>
    <w:rsid w:val="007F5DD8"/>
    <w:rsid w:val="0080484B"/>
    <w:rsid w:val="008071D1"/>
    <w:rsid w:val="00812A76"/>
    <w:rsid w:val="00815183"/>
    <w:rsid w:val="00815A9A"/>
    <w:rsid w:val="00841943"/>
    <w:rsid w:val="00852260"/>
    <w:rsid w:val="00863846"/>
    <w:rsid w:val="00863965"/>
    <w:rsid w:val="00891036"/>
    <w:rsid w:val="008C0A3A"/>
    <w:rsid w:val="008F4283"/>
    <w:rsid w:val="009002DE"/>
    <w:rsid w:val="009005DE"/>
    <w:rsid w:val="00960E47"/>
    <w:rsid w:val="0096565B"/>
    <w:rsid w:val="009C007E"/>
    <w:rsid w:val="009D0E43"/>
    <w:rsid w:val="009D3547"/>
    <w:rsid w:val="009E3442"/>
    <w:rsid w:val="009E61C0"/>
    <w:rsid w:val="00A51AC4"/>
    <w:rsid w:val="00A619F0"/>
    <w:rsid w:val="00AC219A"/>
    <w:rsid w:val="00AC7CE1"/>
    <w:rsid w:val="00AE53B9"/>
    <w:rsid w:val="00AE663E"/>
    <w:rsid w:val="00AF04FC"/>
    <w:rsid w:val="00AF2D72"/>
    <w:rsid w:val="00AF3B8C"/>
    <w:rsid w:val="00B1250C"/>
    <w:rsid w:val="00B265F9"/>
    <w:rsid w:val="00B37373"/>
    <w:rsid w:val="00B55D68"/>
    <w:rsid w:val="00B56764"/>
    <w:rsid w:val="00B62857"/>
    <w:rsid w:val="00B76549"/>
    <w:rsid w:val="00B97CA4"/>
    <w:rsid w:val="00BD3A6F"/>
    <w:rsid w:val="00BD45B1"/>
    <w:rsid w:val="00BD7706"/>
    <w:rsid w:val="00C05055"/>
    <w:rsid w:val="00C06754"/>
    <w:rsid w:val="00C178C2"/>
    <w:rsid w:val="00C21788"/>
    <w:rsid w:val="00C2579D"/>
    <w:rsid w:val="00C506D8"/>
    <w:rsid w:val="00C5169B"/>
    <w:rsid w:val="00C70C46"/>
    <w:rsid w:val="00C7747E"/>
    <w:rsid w:val="00C77728"/>
    <w:rsid w:val="00CA79DB"/>
    <w:rsid w:val="00CB5E3C"/>
    <w:rsid w:val="00CE33F1"/>
    <w:rsid w:val="00CE51C1"/>
    <w:rsid w:val="00CE774F"/>
    <w:rsid w:val="00D01618"/>
    <w:rsid w:val="00D10B64"/>
    <w:rsid w:val="00D21E8B"/>
    <w:rsid w:val="00D2756D"/>
    <w:rsid w:val="00D51D6D"/>
    <w:rsid w:val="00D54819"/>
    <w:rsid w:val="00D711AA"/>
    <w:rsid w:val="00DA0B5E"/>
    <w:rsid w:val="00DF14F6"/>
    <w:rsid w:val="00DF2127"/>
    <w:rsid w:val="00DF79FE"/>
    <w:rsid w:val="00E017FA"/>
    <w:rsid w:val="00E03DA2"/>
    <w:rsid w:val="00E23118"/>
    <w:rsid w:val="00E258EB"/>
    <w:rsid w:val="00E37344"/>
    <w:rsid w:val="00E57263"/>
    <w:rsid w:val="00E835DF"/>
    <w:rsid w:val="00E9439B"/>
    <w:rsid w:val="00EA1869"/>
    <w:rsid w:val="00EA21D6"/>
    <w:rsid w:val="00EB7878"/>
    <w:rsid w:val="00EE4EFA"/>
    <w:rsid w:val="00F04CC5"/>
    <w:rsid w:val="00F10CA8"/>
    <w:rsid w:val="00F17E3E"/>
    <w:rsid w:val="00F214E9"/>
    <w:rsid w:val="00F8541E"/>
    <w:rsid w:val="00FE3680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419390-BB1B-4D04-B0D7-33DCEFA3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65"/>
    <w:rPr>
      <w:sz w:val="24"/>
      <w:szCs w:val="24"/>
    </w:rPr>
  </w:style>
  <w:style w:type="paragraph" w:styleId="1">
    <w:name w:val="heading 1"/>
    <w:basedOn w:val="a"/>
    <w:next w:val="a"/>
    <w:qFormat/>
    <w:rsid w:val="00234BDE"/>
    <w:pPr>
      <w:keepNext/>
      <w:keepLines/>
      <w:numPr>
        <w:numId w:val="1"/>
      </w:numPr>
      <w:tabs>
        <w:tab w:val="left" w:pos="567"/>
      </w:tabs>
      <w:suppressAutoHyphens/>
      <w:spacing w:before="600" w:after="360"/>
      <w:jc w:val="center"/>
      <w:outlineLvl w:val="0"/>
    </w:pPr>
    <w:rPr>
      <w:rFonts w:ascii="Arial" w:hAnsi="Arial"/>
      <w:b/>
      <w:caps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2">
    <w:name w:val="Подзаголовок-2 Знак"/>
    <w:rsid w:val="00234BDE"/>
    <w:rPr>
      <w:b/>
      <w:caps/>
      <w:sz w:val="28"/>
      <w:szCs w:val="24"/>
      <w:lang w:val="ru-RU" w:eastAsia="ru-RU" w:bidi="ar-SA"/>
    </w:rPr>
  </w:style>
  <w:style w:type="paragraph" w:customStyle="1" w:styleId="-30">
    <w:name w:val="Пункт-3"/>
    <w:basedOn w:val="a"/>
    <w:rsid w:val="00234BDE"/>
    <w:pPr>
      <w:tabs>
        <w:tab w:val="num" w:pos="2880"/>
      </w:tabs>
      <w:ind w:left="2880" w:hanging="720"/>
      <w:jc w:val="both"/>
    </w:pPr>
    <w:rPr>
      <w:sz w:val="28"/>
    </w:rPr>
  </w:style>
  <w:style w:type="paragraph" w:customStyle="1" w:styleId="-4">
    <w:name w:val="Пункт-4"/>
    <w:basedOn w:val="a"/>
    <w:rsid w:val="00234BDE"/>
    <w:pPr>
      <w:numPr>
        <w:ilvl w:val="2"/>
        <w:numId w:val="1"/>
      </w:numPr>
      <w:jc w:val="both"/>
    </w:pPr>
    <w:rPr>
      <w:sz w:val="28"/>
    </w:rPr>
  </w:style>
  <w:style w:type="paragraph" w:customStyle="1" w:styleId="-5">
    <w:name w:val="Пункт-5"/>
    <w:basedOn w:val="a"/>
    <w:rsid w:val="00234BDE"/>
    <w:pPr>
      <w:numPr>
        <w:ilvl w:val="3"/>
        <w:numId w:val="1"/>
      </w:numPr>
      <w:tabs>
        <w:tab w:val="clear" w:pos="1674"/>
        <w:tab w:val="num" w:pos="1701"/>
      </w:tabs>
      <w:ind w:left="0"/>
      <w:jc w:val="both"/>
    </w:pPr>
    <w:rPr>
      <w:sz w:val="28"/>
    </w:rPr>
  </w:style>
  <w:style w:type="paragraph" w:customStyle="1" w:styleId="-6">
    <w:name w:val="Пункт-6"/>
    <w:basedOn w:val="a"/>
    <w:rsid w:val="00234BDE"/>
    <w:pPr>
      <w:numPr>
        <w:ilvl w:val="4"/>
        <w:numId w:val="1"/>
      </w:numPr>
      <w:tabs>
        <w:tab w:val="clear" w:pos="1701"/>
        <w:tab w:val="num" w:pos="2268"/>
      </w:tabs>
      <w:ind w:left="2268" w:hanging="567"/>
      <w:jc w:val="both"/>
    </w:pPr>
    <w:rPr>
      <w:sz w:val="28"/>
    </w:rPr>
  </w:style>
  <w:style w:type="paragraph" w:customStyle="1" w:styleId="-7">
    <w:name w:val="Пункт-7"/>
    <w:basedOn w:val="a"/>
    <w:rsid w:val="00234BDE"/>
    <w:pPr>
      <w:numPr>
        <w:ilvl w:val="5"/>
        <w:numId w:val="1"/>
      </w:numPr>
      <w:tabs>
        <w:tab w:val="clear" w:pos="1701"/>
        <w:tab w:val="num" w:pos="2268"/>
      </w:tabs>
      <w:ind w:left="2268" w:hanging="567"/>
      <w:jc w:val="both"/>
    </w:pPr>
    <w:rPr>
      <w:sz w:val="28"/>
    </w:rPr>
  </w:style>
  <w:style w:type="paragraph" w:customStyle="1" w:styleId="-3">
    <w:name w:val="Подзаголовок-3"/>
    <w:basedOn w:val="-30"/>
    <w:rsid w:val="00234BDE"/>
    <w:pPr>
      <w:keepNext/>
      <w:keepLines/>
      <w:numPr>
        <w:ilvl w:val="6"/>
        <w:numId w:val="1"/>
      </w:numPr>
      <w:tabs>
        <w:tab w:val="clear" w:pos="2268"/>
        <w:tab w:val="num" w:pos="1674"/>
      </w:tabs>
      <w:suppressAutoHyphens/>
      <w:spacing w:before="240" w:after="120"/>
      <w:ind w:left="-27" w:firstLine="567"/>
      <w:outlineLvl w:val="2"/>
    </w:pPr>
    <w:rPr>
      <w:b/>
    </w:rPr>
  </w:style>
  <w:style w:type="paragraph" w:customStyle="1" w:styleId="ConsPlusNormal">
    <w:name w:val="ConsPlusNormal"/>
    <w:rsid w:val="00E017FA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rsid w:val="00555A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5AEE"/>
  </w:style>
  <w:style w:type="paragraph" w:styleId="a6">
    <w:name w:val="footer"/>
    <w:basedOn w:val="a"/>
    <w:link w:val="a7"/>
    <w:uiPriority w:val="99"/>
    <w:rsid w:val="00812A7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99"/>
    <w:qFormat/>
    <w:rsid w:val="00D01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506A"/>
    <w:rPr>
      <w:sz w:val="24"/>
      <w:szCs w:val="24"/>
    </w:rPr>
  </w:style>
  <w:style w:type="character" w:customStyle="1" w:styleId="a9">
    <w:name w:val="Сравнение редакций. Удаленный фрагмент"/>
    <w:uiPriority w:val="99"/>
    <w:rsid w:val="00636135"/>
    <w:rPr>
      <w:color w:val="000000"/>
      <w:shd w:val="clear" w:color="auto" w:fill="C4C413"/>
    </w:rPr>
  </w:style>
  <w:style w:type="character" w:customStyle="1" w:styleId="aa">
    <w:name w:val="Гипертекстовая ссылка"/>
    <w:basedOn w:val="a0"/>
    <w:uiPriority w:val="99"/>
    <w:rsid w:val="004E5672"/>
    <w:rPr>
      <w:color w:val="106BBE"/>
    </w:rPr>
  </w:style>
  <w:style w:type="paragraph" w:customStyle="1" w:styleId="pj">
    <w:name w:val="pj"/>
    <w:basedOn w:val="a"/>
    <w:rsid w:val="00FE3680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2C4A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D0E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semiHidden/>
    <w:unhideWhenUsed/>
    <w:rsid w:val="00F21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2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354.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10080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D5D9A-89EB-4325-B933-782F827D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1616</Words>
  <Characters>11814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Test-SPb</Company>
  <LinksUpToDate>false</LinksUpToDate>
  <CharactersWithSpaces>13404</CharactersWithSpaces>
  <SharedDoc>false</SharedDoc>
  <HLinks>
    <vt:vector size="30" baseType="variant">
      <vt:variant>
        <vt:i4>1638436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sub_53</vt:lpwstr>
      </vt:variant>
      <vt:variant>
        <vt:i4>2031655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1966119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>garantf1://71008018.0/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garantf1://12029354.4/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Максим В. Рогов</cp:lastModifiedBy>
  <cp:revision>2</cp:revision>
  <cp:lastPrinted>2016-12-13T07:01:00Z</cp:lastPrinted>
  <dcterms:created xsi:type="dcterms:W3CDTF">2017-01-24T05:57:00Z</dcterms:created>
  <dcterms:modified xsi:type="dcterms:W3CDTF">2017-01-24T05:57:00Z</dcterms:modified>
</cp:coreProperties>
</file>